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5" w:rsidRPr="00FE7952" w:rsidRDefault="003C4D15" w:rsidP="003C4D15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en-US"/>
        </w:rPr>
      </w:pPr>
      <w:r w:rsidRPr="00FE7952">
        <w:rPr>
          <w:rFonts w:ascii="Times New Roman" w:hAnsi="Times New Roman"/>
          <w:sz w:val="28"/>
          <w:szCs w:val="24"/>
          <w:lang w:eastAsia="en-US"/>
        </w:rPr>
        <w:object w:dxaOrig="1053" w:dyaOrig="1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 o:allowoverlap="f" fillcolor="window">
            <v:imagedata r:id="rId5" o:title=""/>
          </v:shape>
          <o:OLEObject Type="Embed" ProgID="Word.Picture.8" ShapeID="_x0000_i1025" DrawAspect="Content" ObjectID="_1635924573" r:id="rId6"/>
        </w:object>
      </w:r>
    </w:p>
    <w:p w:rsidR="003C4D15" w:rsidRPr="00FE7952" w:rsidRDefault="003C4D15" w:rsidP="003C4D15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eastAsia="en-US"/>
        </w:rPr>
      </w:pPr>
      <w:r w:rsidRPr="00FE7952">
        <w:rPr>
          <w:rFonts w:ascii="Times New Roman" w:hAnsi="Times New Roman"/>
          <w:sz w:val="28"/>
          <w:szCs w:val="24"/>
          <w:lang w:eastAsia="en-US"/>
        </w:rPr>
        <w:t>ЧЕРКАСЬКА ОБЛАСНА ДЕРЖАВНА АДМІНІСТРАЦІЯ</w:t>
      </w:r>
    </w:p>
    <w:p w:rsidR="003C4D15" w:rsidRPr="00FE7952" w:rsidRDefault="003C4D15" w:rsidP="003C4D1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E7952">
        <w:rPr>
          <w:rFonts w:ascii="Times New Roman" w:hAnsi="Times New Roman"/>
          <w:b/>
          <w:caps/>
          <w:sz w:val="28"/>
          <w:szCs w:val="24"/>
        </w:rPr>
        <w:t xml:space="preserve">ДЕПАРТАМЕНТ ІНФРАСТРУКТУРИ, </w:t>
      </w:r>
    </w:p>
    <w:p w:rsidR="003C4D15" w:rsidRPr="00FE7952" w:rsidRDefault="003C4D15" w:rsidP="003C4D15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E7952">
        <w:rPr>
          <w:rFonts w:ascii="Times New Roman" w:hAnsi="Times New Roman"/>
          <w:b/>
          <w:caps/>
          <w:sz w:val="28"/>
          <w:szCs w:val="24"/>
        </w:rPr>
        <w:t>РОЗВИТКУ ТА УТРИМАННЯ МЕРЕЖІ АВТОМОБІЛЬНИХ ДОРІГ ЗАГАлЬНОГО КОРИСТУВАННЯ МІСЦЕВОГО ЗНАЧЕННЯ</w:t>
      </w:r>
    </w:p>
    <w:p w:rsidR="003C4D15" w:rsidRPr="00FE7952" w:rsidRDefault="003C4D15" w:rsidP="003C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952">
        <w:rPr>
          <w:rFonts w:ascii="Times New Roman" w:hAnsi="Times New Roman"/>
          <w:sz w:val="28"/>
          <w:szCs w:val="28"/>
        </w:rPr>
        <w:t>(ДЕПАРТАМЕНТ ІНФРАСТРУКТУРИ ЧЕРКАСЬКОЇ ОДА)</w:t>
      </w:r>
    </w:p>
    <w:p w:rsidR="003C4D15" w:rsidRPr="00FE7952" w:rsidRDefault="003C4D15" w:rsidP="003C4D15">
      <w:pPr>
        <w:keepLines/>
        <w:spacing w:after="0" w:line="36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C4D15" w:rsidRPr="00FE7952" w:rsidRDefault="003C4D15" w:rsidP="003C4D15">
      <w:pPr>
        <w:keepLines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FE7952">
        <w:rPr>
          <w:rFonts w:ascii="Times New Roman" w:hAnsi="Times New Roman"/>
          <w:sz w:val="20"/>
          <w:szCs w:val="24"/>
          <w:lang w:eastAsia="ru-RU"/>
        </w:rPr>
        <w:t>бульвар Шевченка, 185, м. Черкаси, 18001, тел. (0472) 37-10-94,  факс 33-70-81</w:t>
      </w:r>
    </w:p>
    <w:p w:rsidR="003C4D15" w:rsidRPr="00FE7952" w:rsidRDefault="003C4D15" w:rsidP="003C4D15">
      <w:pPr>
        <w:keepLines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FE7952">
        <w:rPr>
          <w:rFonts w:ascii="Times New Roman" w:hAnsi="Times New Roman"/>
          <w:sz w:val="20"/>
          <w:szCs w:val="24"/>
          <w:lang w:eastAsia="ru-RU"/>
        </w:rPr>
        <w:t>E-</w:t>
      </w:r>
      <w:proofErr w:type="spellStart"/>
      <w:r w:rsidRPr="00FE7952">
        <w:rPr>
          <w:rFonts w:ascii="Times New Roman" w:hAnsi="Times New Roman"/>
          <w:sz w:val="20"/>
          <w:szCs w:val="24"/>
          <w:lang w:eastAsia="ru-RU"/>
        </w:rPr>
        <w:t>mail</w:t>
      </w:r>
      <w:proofErr w:type="spellEnd"/>
      <w:r w:rsidRPr="00FE7952">
        <w:rPr>
          <w:rFonts w:ascii="Times New Roman" w:hAnsi="Times New Roman"/>
          <w:sz w:val="20"/>
          <w:szCs w:val="24"/>
          <w:lang w:eastAsia="ru-RU"/>
        </w:rPr>
        <w:t xml:space="preserve">: transport.opk@ukr.net                                            Код ЄДРПОУ 40232995                                   </w:t>
      </w:r>
    </w:p>
    <w:p w:rsidR="003C4D15" w:rsidRPr="00FE7952" w:rsidRDefault="003C4D15" w:rsidP="003C4D15">
      <w:pPr>
        <w:keepLines/>
        <w:spacing w:after="0" w:line="360" w:lineRule="auto"/>
        <w:jc w:val="center"/>
        <w:rPr>
          <w:rFonts w:ascii="Times New Roman" w:hAnsi="Times New Roman"/>
          <w:sz w:val="2"/>
          <w:szCs w:val="24"/>
          <w:lang w:eastAsia="ru-RU"/>
        </w:rPr>
      </w:pPr>
    </w:p>
    <w:p w:rsidR="003C4D15" w:rsidRPr="00FE7952" w:rsidRDefault="003C4D15" w:rsidP="003C4D15">
      <w:pPr>
        <w:keepLines/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E7952">
        <w:rPr>
          <w:rFonts w:ascii="Times New Roman" w:hAnsi="Times New Roman"/>
          <w:sz w:val="28"/>
          <w:szCs w:val="28"/>
          <w:lang w:eastAsia="ru-RU"/>
        </w:rPr>
        <w:t>____________ № ___________</w:t>
      </w:r>
      <w:r w:rsidRPr="00FE7952"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FE7952">
        <w:rPr>
          <w:rFonts w:ascii="Times New Roman" w:hAnsi="Times New Roman"/>
          <w:sz w:val="28"/>
          <w:szCs w:val="28"/>
          <w:lang w:eastAsia="ru-RU"/>
        </w:rPr>
        <w:t xml:space="preserve">  На № ____________ від ___________</w:t>
      </w:r>
      <w:r w:rsidRPr="00FE7952">
        <w:rPr>
          <w:rFonts w:ascii="Times New Roman" w:hAnsi="Times New Roman"/>
          <w:sz w:val="28"/>
          <w:szCs w:val="24"/>
          <w:lang w:eastAsia="ru-RU"/>
        </w:rPr>
        <w:t>__</w:t>
      </w:r>
    </w:p>
    <w:p w:rsidR="003C4D15" w:rsidRDefault="003C4D15" w:rsidP="003C4D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Обласна рада</w:t>
      </w: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Pr="00336A27" w:rsidRDefault="003C4D15" w:rsidP="003C4D1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36A27">
        <w:rPr>
          <w:rFonts w:ascii="Times New Roman" w:hAnsi="Times New Roman"/>
          <w:sz w:val="28"/>
          <w:szCs w:val="28"/>
        </w:rPr>
        <w:t>Пояснювальна записка</w:t>
      </w:r>
    </w:p>
    <w:p w:rsidR="003C4D15" w:rsidRDefault="003C4D15" w:rsidP="003C4D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 проекту рішення обласної ради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внесення доповнень </w:t>
      </w:r>
      <w:r>
        <w:rPr>
          <w:rFonts w:ascii="Times New Roman" w:hAnsi="Times New Roman"/>
          <w:sz w:val="28"/>
          <w:szCs w:val="28"/>
        </w:rPr>
        <w:br/>
        <w:t xml:space="preserve">у додаток 1 до Програми підвищення рівня безпеки дорожнього </w:t>
      </w:r>
      <w:r>
        <w:rPr>
          <w:rFonts w:ascii="Times New Roman" w:hAnsi="Times New Roman"/>
          <w:sz w:val="28"/>
          <w:szCs w:val="28"/>
        </w:rPr>
        <w:br/>
        <w:t xml:space="preserve">руху на період до 2020 </w:t>
      </w:r>
      <w:proofErr w:type="spellStart"/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End"/>
    </w:p>
    <w:p w:rsidR="003C4D15" w:rsidRDefault="003C4D15" w:rsidP="003C4D15">
      <w:pPr>
        <w:tabs>
          <w:tab w:val="left" w:pos="53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Обґрунтування необхідності прийняття рішення.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результатами аналізу реалізації обласної програми підвищення рівня безпеки дорожнього руху на період до 2020 року (далі – Програма),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яка затверджена рішенням обласної ради від 24.03.2017 № 13-5/</w:t>
      </w:r>
      <w:r w:rsidRPr="00B7276B">
        <w:rPr>
          <w:rFonts w:ascii="Times New Roman" w:hAnsi="Times New Roman"/>
          <w:bCs/>
          <w:sz w:val="28"/>
          <w:szCs w:val="28"/>
          <w:lang w:eastAsia="ru-RU"/>
        </w:rPr>
        <w:t>VII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(зі змінами), з метою збереження транспортно-експлуатаційного стану мережі автомобільних доріг загального користування державного та місцевого значення від передчасних руйнувань, здійснення заходів державного автоматизованого контролю, в частині недопущення перевезення вантажів транспортними засобами з перевищенням габаритно-вагових параметрів, виникла необхідність у посиленні контролю за ходом її виконання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та координації дій відповідних виконавців та учасників Програми з боку обласної державної адміністрації. 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Прийняття доповнень до Програми дасть змогу забезпечити </w:t>
      </w:r>
      <w:r w:rsidRPr="002E7A9E">
        <w:rPr>
          <w:rFonts w:ascii="Times New Roman" w:hAnsi="Times New Roman"/>
          <w:sz w:val="28"/>
          <w:szCs w:val="28"/>
        </w:rPr>
        <w:t>цілодобовий моніторинг руху</w:t>
      </w:r>
      <w:r>
        <w:rPr>
          <w:rFonts w:ascii="Times New Roman" w:hAnsi="Times New Roman"/>
          <w:sz w:val="28"/>
          <w:szCs w:val="28"/>
        </w:rPr>
        <w:t xml:space="preserve"> транспортних засобів на автомобільних дорогах загального користування</w:t>
      </w:r>
      <w:r w:rsidRPr="002E7A9E">
        <w:rPr>
          <w:rFonts w:ascii="Times New Roman" w:hAnsi="Times New Roman"/>
          <w:sz w:val="28"/>
          <w:szCs w:val="28"/>
        </w:rPr>
        <w:t xml:space="preserve">, автоматичну фіксацію ряду порушень правил дорожнього </w:t>
      </w:r>
      <w:r>
        <w:rPr>
          <w:rFonts w:ascii="Times New Roman" w:hAnsi="Times New Roman"/>
          <w:sz w:val="28"/>
          <w:szCs w:val="28"/>
        </w:rPr>
        <w:t xml:space="preserve">руху та </w:t>
      </w:r>
      <w:r w:rsidRPr="002E7A9E">
        <w:rPr>
          <w:rFonts w:ascii="Times New Roman" w:hAnsi="Times New Roman"/>
          <w:sz w:val="28"/>
          <w:szCs w:val="28"/>
        </w:rPr>
        <w:t>отримання комплексної інформації про інтенсивність руху</w:t>
      </w:r>
      <w:r>
        <w:rPr>
          <w:rFonts w:ascii="Times New Roman" w:hAnsi="Times New Roman"/>
          <w:sz w:val="28"/>
          <w:szCs w:val="28"/>
        </w:rPr>
        <w:t xml:space="preserve"> та склад транспортних засобів.</w:t>
      </w:r>
    </w:p>
    <w:p w:rsidR="003C4D15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Мета і шляхи її досягнення.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Метою прийняття проекту рішення є внесення доповнень до переліку заходів з підвищення рівня безпеки дорожнього руху на автомобільних дорогах області. </w:t>
      </w:r>
    </w:p>
    <w:p w:rsidR="003C4D15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Правові аспекти.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рішення розроблено на підставі статті 59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B7276B"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Pr="005C077F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Фінансово-економічне обґрунтування. 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Реалізація заходів Програми здійснюватиметься на умовах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співфінансування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 рахунок коштів місцевих бюджетів </w:t>
      </w:r>
      <w:r w:rsidRPr="00C05FDC">
        <w:rPr>
          <w:rFonts w:ascii="Times New Roman" w:hAnsi="Times New Roman"/>
          <w:bCs/>
          <w:sz w:val="28"/>
          <w:szCs w:val="28"/>
          <w:lang w:eastAsia="ru-RU"/>
        </w:rPr>
        <w:t xml:space="preserve">та інших,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C05FDC">
        <w:rPr>
          <w:rFonts w:ascii="Times New Roman" w:hAnsi="Times New Roman"/>
          <w:bCs/>
          <w:sz w:val="28"/>
          <w:szCs w:val="28"/>
          <w:lang w:eastAsia="ru-RU"/>
        </w:rPr>
        <w:t>не заборонених чинним законодавством джерел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C4D15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Регіональний ефект.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рішення не зачіпає питань розвитку адміністративно-територіальних одиниць. </w:t>
      </w:r>
    </w:p>
    <w:p w:rsidR="003C4D15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Громадське обговорення.</w:t>
      </w:r>
    </w:p>
    <w:p w:rsidR="003C4D15" w:rsidRPr="005C077F" w:rsidRDefault="003C4D15" w:rsidP="003C4D15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077F">
        <w:rPr>
          <w:rFonts w:ascii="Times New Roman" w:hAnsi="Times New Roman"/>
          <w:bCs/>
          <w:sz w:val="28"/>
          <w:szCs w:val="28"/>
          <w:lang w:eastAsia="ru-RU"/>
        </w:rPr>
        <w:t xml:space="preserve">Проект рішення не потребує громадського обговорення. </w:t>
      </w:r>
    </w:p>
    <w:p w:rsidR="003C4D15" w:rsidRDefault="003C4D15" w:rsidP="003C4D15">
      <w:p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результатів.</w:t>
      </w:r>
    </w:p>
    <w:p w:rsidR="003C4D15" w:rsidRPr="00E14BE4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4BE4">
        <w:rPr>
          <w:rFonts w:ascii="Times New Roman" w:hAnsi="Times New Roman"/>
          <w:sz w:val="28"/>
          <w:szCs w:val="28"/>
        </w:rPr>
        <w:t xml:space="preserve">Впровадження системи зважування великовагових транспортних засобів </w:t>
      </w:r>
      <w:r w:rsidRPr="00E14BE4">
        <w:rPr>
          <w:rFonts w:ascii="Times New Roman" w:hAnsi="Times New Roman"/>
          <w:sz w:val="28"/>
          <w:szCs w:val="28"/>
        </w:rPr>
        <w:br/>
        <w:t xml:space="preserve">в русі дасть змогу контролювати дотримання водіями транспортних засобів, </w:t>
      </w:r>
      <w:r>
        <w:rPr>
          <w:rFonts w:ascii="Times New Roman" w:hAnsi="Times New Roman"/>
          <w:sz w:val="28"/>
          <w:szCs w:val="28"/>
        </w:rPr>
        <w:br/>
      </w:r>
      <w:r w:rsidRPr="00E14BE4">
        <w:rPr>
          <w:rFonts w:ascii="Times New Roman" w:hAnsi="Times New Roman"/>
          <w:sz w:val="28"/>
          <w:szCs w:val="28"/>
        </w:rPr>
        <w:t xml:space="preserve">встановлених обмежень щодо допустимої маси вантажу та/або навантаження </w:t>
      </w:r>
      <w:r>
        <w:rPr>
          <w:rFonts w:ascii="Times New Roman" w:hAnsi="Times New Roman"/>
          <w:sz w:val="28"/>
          <w:szCs w:val="28"/>
        </w:rPr>
        <w:br/>
      </w:r>
      <w:r w:rsidRPr="00E14BE4">
        <w:rPr>
          <w:rFonts w:ascii="Times New Roman" w:hAnsi="Times New Roman"/>
          <w:sz w:val="28"/>
          <w:szCs w:val="28"/>
        </w:rPr>
        <w:t>на вісь, що є одним із головних чинників руйнування автомобільних доріг.</w:t>
      </w:r>
    </w:p>
    <w:p w:rsidR="003C4D15" w:rsidRDefault="003C4D15" w:rsidP="003C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це дасть можливість частково забезпечити працівників управління </w:t>
      </w:r>
      <w:proofErr w:type="spellStart"/>
      <w:r>
        <w:rPr>
          <w:rFonts w:ascii="Times New Roman" w:hAnsi="Times New Roman"/>
          <w:sz w:val="28"/>
          <w:szCs w:val="28"/>
        </w:rPr>
        <w:t>Укртрансбезпеки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у Черкаській області необхідним обладнанням для здійснення ними державного контролю та нагляду за дотриманням вимог законодавства про автомобільний транспорт.</w:t>
      </w:r>
    </w:p>
    <w:p w:rsidR="003C4D15" w:rsidRDefault="003C4D15" w:rsidP="003C4D15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D15" w:rsidRDefault="003C4D15" w:rsidP="003C4D15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D15" w:rsidRDefault="003C4D15" w:rsidP="003C4D15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D15" w:rsidRPr="00B76386" w:rsidRDefault="003C4D15" w:rsidP="003C4D15">
      <w:pPr>
        <w:tabs>
          <w:tab w:val="left" w:pos="7088"/>
        </w:tabs>
        <w:spacing w:after="0" w:line="240" w:lineRule="auto"/>
        <w:ind w:right="-284"/>
        <w:rPr>
          <w:rFonts w:ascii="Times New Roman" w:hAnsi="Times New Roman"/>
          <w:sz w:val="24"/>
          <w:szCs w:val="20"/>
        </w:rPr>
      </w:pPr>
      <w:r w:rsidRPr="00B76386">
        <w:rPr>
          <w:rFonts w:ascii="Times New Roman" w:hAnsi="Times New Roman"/>
          <w:sz w:val="28"/>
          <w:szCs w:val="28"/>
        </w:rPr>
        <w:t>Директор</w:t>
      </w:r>
      <w:r w:rsidRPr="00B76386">
        <w:rPr>
          <w:rFonts w:ascii="Times New Roman" w:hAnsi="Times New Roman"/>
          <w:sz w:val="28"/>
          <w:szCs w:val="28"/>
        </w:rPr>
        <w:tab/>
        <w:t>Сергій ЧУБАНЬ</w:t>
      </w: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D15" w:rsidRDefault="003C4D15" w:rsidP="003C4D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3C4D15" w:rsidRDefault="003C4D15" w:rsidP="003C4D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3C4D15" w:rsidRDefault="003C4D15" w:rsidP="003C4D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3C4D15" w:rsidRPr="00A34198" w:rsidRDefault="003C4D15" w:rsidP="003C4D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Микола </w:t>
      </w:r>
      <w:proofErr w:type="spellStart"/>
      <w:r>
        <w:rPr>
          <w:rFonts w:ascii="Times New Roman" w:hAnsi="Times New Roman"/>
          <w:sz w:val="18"/>
        </w:rPr>
        <w:t>Чен</w:t>
      </w:r>
      <w:proofErr w:type="spellEnd"/>
      <w:r>
        <w:rPr>
          <w:rFonts w:ascii="Times New Roman" w:hAnsi="Times New Roman"/>
          <w:sz w:val="18"/>
        </w:rPr>
        <w:t xml:space="preserve"> (0472) 55 21 17</w:t>
      </w:r>
    </w:p>
    <w:p w:rsidR="00042032" w:rsidRDefault="00042032"/>
    <w:sectPr w:rsidR="00042032" w:rsidSect="0089204D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4D" w:rsidRPr="0089204D" w:rsidRDefault="003C4D15">
    <w:pPr>
      <w:pStyle w:val="a4"/>
      <w:jc w:val="center"/>
      <w:rPr>
        <w:rFonts w:ascii="Times New Roman" w:hAnsi="Times New Roman"/>
        <w:sz w:val="24"/>
        <w:szCs w:val="24"/>
      </w:rPr>
    </w:pPr>
    <w:r w:rsidRPr="0089204D">
      <w:rPr>
        <w:rFonts w:ascii="Times New Roman" w:hAnsi="Times New Roman"/>
        <w:sz w:val="24"/>
        <w:szCs w:val="24"/>
      </w:rPr>
      <w:fldChar w:fldCharType="begin"/>
    </w:r>
    <w:r w:rsidRPr="0089204D">
      <w:rPr>
        <w:rFonts w:ascii="Times New Roman" w:hAnsi="Times New Roman"/>
        <w:sz w:val="24"/>
        <w:szCs w:val="24"/>
      </w:rPr>
      <w:instrText xml:space="preserve"> PAGE   \* MERGEFORMAT </w:instrText>
    </w:r>
    <w:r w:rsidRPr="0089204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9204D">
      <w:rPr>
        <w:rFonts w:ascii="Times New Roman" w:hAnsi="Times New Roman"/>
        <w:sz w:val="24"/>
        <w:szCs w:val="24"/>
      </w:rPr>
      <w:fldChar w:fldCharType="end"/>
    </w:r>
  </w:p>
  <w:p w:rsidR="0089204D" w:rsidRDefault="003C4D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404A"/>
    <w:multiLevelType w:val="hybridMultilevel"/>
    <w:tmpl w:val="ABC2E32A"/>
    <w:lvl w:ilvl="0" w:tplc="9BA24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C4D15"/>
    <w:rsid w:val="00042032"/>
    <w:rsid w:val="003C4D15"/>
    <w:rsid w:val="008E4124"/>
    <w:rsid w:val="00935964"/>
    <w:rsid w:val="00CF58AD"/>
    <w:rsid w:val="00F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15"/>
    <w:pPr>
      <w:spacing w:after="200" w:line="276" w:lineRule="auto"/>
      <w:ind w:firstLine="0"/>
      <w:jc w:val="left"/>
    </w:pPr>
    <w:rPr>
      <w:rFonts w:ascii="Calibri" w:eastAsia="Times New Roman" w:hAnsi="Calibri" w:cs="Times New Roman"/>
      <w:color w:val="auto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D15"/>
    <w:rPr>
      <w:rFonts w:ascii="Calibri" w:eastAsia="Times New Roman" w:hAnsi="Calibri" w:cs="Times New Roman"/>
      <w:color w:val="auto"/>
      <w:sz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2019-11-22T08:43:00Z</dcterms:created>
  <dcterms:modified xsi:type="dcterms:W3CDTF">2019-11-22T08:43:00Z</dcterms:modified>
</cp:coreProperties>
</file>